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29473" w14:textId="77777777" w:rsidR="009251C3" w:rsidRDefault="00000000">
      <w:pPr>
        <w:pStyle w:val="Title"/>
      </w:pPr>
      <w:r>
        <w:t>Deep End Cymru Position Statement</w:t>
      </w:r>
    </w:p>
    <w:p w14:paraId="42933A26" w14:textId="77777777" w:rsidR="009251C3" w:rsidRDefault="00000000">
      <w:pPr>
        <w:pStyle w:val="Heading2"/>
      </w:pPr>
      <w:bookmarkStart w:id="0" w:name="how_primary_care_clusters_can_better_tar"/>
      <w:r>
        <w:t>How Primary Care Clusters Can Better Target and Improve Health Equity in Wales</w:t>
      </w:r>
      <w:bookmarkEnd w:id="0"/>
    </w:p>
    <w:p w14:paraId="252A9F12" w14:textId="5A1D1D22" w:rsidR="009251C3" w:rsidRDefault="00000000">
      <w:pPr>
        <w:pStyle w:val="Heading3"/>
      </w:pPr>
      <w:bookmarkStart w:id="1" w:name="version_1_0_4_september_2026"/>
      <w:r>
        <w:t xml:space="preserve">Version 1.0 </w:t>
      </w:r>
      <w:bookmarkEnd w:id="1"/>
    </w:p>
    <w:p w14:paraId="44D42BAD" w14:textId="77777777" w:rsidR="009251C3" w:rsidRDefault="00000000">
      <w:pPr>
        <w:pStyle w:val="Heading2"/>
      </w:pPr>
      <w:bookmarkStart w:id="2" w:name="introduction"/>
      <w:r>
        <w:t>Introduction</w:t>
      </w:r>
      <w:bookmarkEnd w:id="2"/>
    </w:p>
    <w:p w14:paraId="1A9C616B" w14:textId="77777777" w:rsidR="009251C3" w:rsidRDefault="00000000">
      <w:r>
        <w:t>Primary care clusters have now been established in Wales for several years, delivering important successes: strengthening collaboration between GP practices and community health services, piloting innovative approaches to care, and supporting long-term programmes such as social prescribing, multidisciplinary team working, and medicines optimisation. However, unlike other parts of the UK, cluster funding in Wales is not weighted for deprivation or equity. This creates a risk that clusters may inadvertently widen existing inequalities or, at best, fail to narrow the substantial gaps in health outcomes that persist across Welsh communities.</w:t>
      </w:r>
    </w:p>
    <w:p w14:paraId="7C521571" w14:textId="77777777" w:rsidR="009251C3" w:rsidRDefault="00000000">
      <w:r>
        <w:t>At our Deep End Cymru round table in May 2026, members and partners reflected on how clusters could more effectively embed equity into their planning, delivery, and evaluation. Many cluster teams wish to take meaningful action on inequalities but feel constrained without stronger national direction, dedicated resourcing, and more consistent support from health boards and government.</w:t>
      </w:r>
    </w:p>
    <w:p w14:paraId="46D425D4" w14:textId="7F825B22" w:rsidR="009251C3" w:rsidRDefault="00000000" w:rsidP="004A29A8">
      <w:r>
        <w:t>This position statement summarises the collective experience of our network, including clinicians who hold cluster leadership roles. It is intended as a foundation for further discussion, refinement, and collaborative action.</w:t>
      </w:r>
    </w:p>
    <w:p w14:paraId="53BBFE52" w14:textId="77777777" w:rsidR="009251C3" w:rsidRDefault="00000000">
      <w:pPr>
        <w:pStyle w:val="Heading2"/>
      </w:pPr>
      <w:bookmarkStart w:id="3" w:name="the_role_of_welsh_government"/>
      <w:r>
        <w:t>The Role of Welsh Government</w:t>
      </w:r>
      <w:bookmarkEnd w:id="3"/>
    </w:p>
    <w:p w14:paraId="6E18747D" w14:textId="77777777" w:rsidR="009251C3" w:rsidRDefault="00000000">
      <w:r>
        <w:t>Welsh Government should provide clearer national coordination and transparency around cluster activity, including mechanisms for sharing information on approved projects, particularly those addressing deprivation and health inequalities. A national community of practice-supported by Deep End Cymru and linked to other Deep End networks across the UK-would help ensure learning is shared and replicated.</w:t>
      </w:r>
    </w:p>
    <w:p w14:paraId="3B39E469" w14:textId="62999644" w:rsidR="009251C3" w:rsidRDefault="00000000">
      <w:r>
        <w:lastRenderedPageBreak/>
        <w:t xml:space="preserve">Government commitment to </w:t>
      </w:r>
      <w:r w:rsidRPr="004A29A8">
        <w:rPr>
          <w:bCs/>
        </w:rPr>
        <w:t>dedicated inequalities funding</w:t>
      </w:r>
      <w:r>
        <w:t>, allocated proportionally to clusters, is essential. Funding should be ring-fenced, protected from being absorbed into health board financial positions, and-where appropriate-rolled over to support continuity of programmes. Financial frameworks should avoid penalising Deep End services when performance targets are not met, recognising the structural challenges faced by practices serving highly deprived populations. Differential targets or payment-for-improvement models may be required to ensure fairness</w:t>
      </w:r>
      <w:r w:rsidR="004A29A8">
        <w:t xml:space="preserve"> and also working to drive an approach which both raises the bar for all whilst narrowing the gap between best and worst performers</w:t>
      </w:r>
      <w:r>
        <w:t>.</w:t>
      </w:r>
    </w:p>
    <w:p w14:paraId="091C6105" w14:textId="5EED0E6B" w:rsidR="009251C3" w:rsidRDefault="00000000" w:rsidP="004A29A8">
      <w:r>
        <w:t>Long-term strategic planning and resourcing must underpin this work, including investment in services for communities with language, sensory, or communication needs. Enhanced services should be funded at levels that reflect the complexity and workload associated with Deep End populations.</w:t>
      </w:r>
    </w:p>
    <w:p w14:paraId="20C2B889" w14:textId="77777777" w:rsidR="009251C3" w:rsidRDefault="00000000">
      <w:pPr>
        <w:pStyle w:val="Heading2"/>
      </w:pPr>
      <w:bookmarkStart w:id="4" w:name="the_role_of_local_health_boards"/>
      <w:r>
        <w:t>The Role of Local Health Boards</w:t>
      </w:r>
      <w:bookmarkEnd w:id="4"/>
    </w:p>
    <w:p w14:paraId="692E30B1" w14:textId="13D182FE" w:rsidR="009251C3" w:rsidRDefault="00000000">
      <w:r>
        <w:t xml:space="preserve">Local health boards should adopt a more enabling approach to cluster innovation, recognising that new initiatives often support GMS practices whose workload and workforce pressures are greatest in Deep End areas. </w:t>
      </w:r>
      <w:r w:rsidR="004A29A8">
        <w:t xml:space="preserve">Health </w:t>
      </w:r>
      <w:r>
        <w:t>Boards must ensure that clusters have the human resources</w:t>
      </w:r>
      <w:r w:rsidR="004A29A8">
        <w:t xml:space="preserve"> (</w:t>
      </w:r>
      <w:r>
        <w:t>not only financial resources</w:t>
      </w:r>
      <w:r w:rsidR="004A29A8">
        <w:t xml:space="preserve">) </w:t>
      </w:r>
      <w:r>
        <w:t>required to act on inequalities</w:t>
      </w:r>
      <w:r w:rsidR="004A29A8">
        <w:t xml:space="preserve">. This should </w:t>
      </w:r>
      <w:r>
        <w:t>includ</w:t>
      </w:r>
      <w:r w:rsidR="004A29A8">
        <w:t>e</w:t>
      </w:r>
      <w:r>
        <w:t xml:space="preserve"> analytical, evaluation, and business-intelligence capacity.</w:t>
      </w:r>
    </w:p>
    <w:p w14:paraId="2C0ED6BC" w14:textId="0309E5E4" w:rsidR="009251C3" w:rsidRDefault="00000000">
      <w:r>
        <w:t xml:space="preserve">Resource allocation should be proportionate to deprivation, and </w:t>
      </w:r>
      <w:r w:rsidR="004A29A8">
        <w:t>Health B</w:t>
      </w:r>
      <w:r>
        <w:t>oards should demonstrate a clear understanding of the challenges Deep End practices face in meeting contractual and quality-improvement requirements. Primary care leadership structures must provide sustained support to Deep End services and actively nurture leadership from within these communities.</w:t>
      </w:r>
    </w:p>
    <w:p w14:paraId="5050BB5E" w14:textId="15D253DF" w:rsidR="009251C3" w:rsidRDefault="00000000">
      <w:r>
        <w:t xml:space="preserve">Commissioning decisions should be strategically aligned with the needs of Deep End populations, and dialogue between cluster leads and wider system partners should be strengthened. Mechanisms for repurposing unused cluster funding to support equity-focused work should be established. </w:t>
      </w:r>
      <w:r w:rsidR="004A29A8">
        <w:t xml:space="preserve">Health </w:t>
      </w:r>
      <w:r>
        <w:t xml:space="preserve">Boards should also consider how clusters </w:t>
      </w:r>
      <w:r>
        <w:lastRenderedPageBreak/>
        <w:t>can contribute to primary care estate planning, ensuring facilities meet the needs of the communities they serve</w:t>
      </w:r>
      <w:r w:rsidR="004A29A8">
        <w:t xml:space="preserve"> both now and in the future</w:t>
      </w:r>
      <w:r>
        <w:t>.</w:t>
      </w:r>
    </w:p>
    <w:p w14:paraId="24FAFE26" w14:textId="77777777" w:rsidR="009251C3" w:rsidRDefault="00000000">
      <w:pPr>
        <w:pStyle w:val="Heading2"/>
      </w:pPr>
      <w:bookmarkStart w:id="5" w:name="the_role_of_clusters"/>
      <w:r>
        <w:t>The Role of Clusters</w:t>
      </w:r>
      <w:bookmarkEnd w:id="5"/>
    </w:p>
    <w:p w14:paraId="4BF4C08F" w14:textId="31D71F48" w:rsidR="009251C3" w:rsidRDefault="00000000">
      <w:r>
        <w:t xml:space="preserve">Clusters themselves have a vital role in driving equity. Working with Deep End Cymru to identify and brand Deep End clusters would help articulate local priorities and strengthen identity. Clusters should expand assertive outreach for chronic disease management, recognising the disproportionate burden of </w:t>
      </w:r>
      <w:r w:rsidR="004A29A8">
        <w:t xml:space="preserve">(multiple) </w:t>
      </w:r>
      <w:r>
        <w:t>long-term conditions in deprived communities.</w:t>
      </w:r>
    </w:p>
    <w:p w14:paraId="078C161A" w14:textId="3A9CB904" w:rsidR="009251C3" w:rsidRDefault="00000000">
      <w:r>
        <w:t>Partnership working with the third sector must be deepened, with co-production of services that reflect local needs. Independent contractors</w:t>
      </w:r>
      <w:r w:rsidR="004A29A8">
        <w:t xml:space="preserve"> </w:t>
      </w:r>
      <w:r>
        <w:t>including pharmacy, dental, and optometry</w:t>
      </w:r>
      <w:r w:rsidR="004A29A8">
        <w:t xml:space="preserve"> </w:t>
      </w:r>
      <w:r>
        <w:t>should be fully engaged in understanding and responding to Deep End priorities. Protected time and backfill for Deep End practices are essential to enable participation in cluster activity.</w:t>
      </w:r>
    </w:p>
    <w:p w14:paraId="2CC5CD98" w14:textId="5872F857" w:rsidR="009251C3" w:rsidRDefault="00000000" w:rsidP="004A29A8">
      <w:r>
        <w:t>Evaluation must be strengthened, with robust data collection from project initiation and clear plans for assessing impact on inequalities. Clusters should ensure that their work addresses the wider social determinants of health</w:t>
      </w:r>
      <w:r w:rsidR="004A29A8">
        <w:t xml:space="preserve"> including </w:t>
      </w:r>
      <w:r>
        <w:t>income, employment, housing, and environment</w:t>
      </w:r>
      <w:r w:rsidR="004A29A8">
        <w:t>, a</w:t>
      </w:r>
      <w:r>
        <w:t>nd that local data on inequalities are routinely shared and discussed with partners.</w:t>
      </w:r>
    </w:p>
    <w:p w14:paraId="3B6D0946" w14:textId="77777777" w:rsidR="009251C3" w:rsidRDefault="00000000">
      <w:pPr>
        <w:pStyle w:val="Heading2"/>
      </w:pPr>
      <w:bookmarkStart w:id="6" w:name="conclusion"/>
      <w:r>
        <w:t>Conclusion</w:t>
      </w:r>
      <w:bookmarkEnd w:id="6"/>
    </w:p>
    <w:p w14:paraId="494F6E24" w14:textId="48569455" w:rsidR="009251C3" w:rsidRDefault="00000000" w:rsidP="004A29A8">
      <w:r>
        <w:t xml:space="preserve">Primary care clusters have significant potential to improve health equity in Wales, but this will only be realised through coordinated national leadership, proportionate resourcing, and a clear commitment to supporting the communities with the greatest need. Deep End Cymru stands ready to work with Welsh Government, </w:t>
      </w:r>
      <w:r w:rsidR="004A29A8">
        <w:t>H</w:t>
      </w:r>
      <w:r>
        <w:t xml:space="preserve">ealth </w:t>
      </w:r>
      <w:r w:rsidR="004A29A8">
        <w:t>B</w:t>
      </w:r>
      <w:r>
        <w:t xml:space="preserve">oards, and clusters to ensure that equity becomes central to </w:t>
      </w:r>
      <w:r w:rsidR="004A29A8">
        <w:t xml:space="preserve">health service planning and delivery across Wales. </w:t>
      </w:r>
    </w:p>
    <w:p w14:paraId="0741487A" w14:textId="13E1D7B6" w:rsidR="009251C3" w:rsidRDefault="009251C3"/>
    <w:sectPr w:rsidR="009251C3">
      <w:footerReference w:type="default" r:id="rId7"/>
      <w:pgSz w:w="12240" w:h="15840"/>
      <w:pgMar w:top="1440" w:right="1440" w:bottom="1440" w:left="1440" w:header="540" w:footer="5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AFEFC" w14:textId="77777777" w:rsidR="005517E9" w:rsidRDefault="005517E9">
      <w:pPr>
        <w:spacing w:before="0" w:after="0" w:line="240" w:lineRule="auto"/>
      </w:pPr>
      <w:r>
        <w:separator/>
      </w:r>
    </w:p>
  </w:endnote>
  <w:endnote w:type="continuationSeparator" w:id="0">
    <w:p w14:paraId="46FA03BD" w14:textId="77777777" w:rsidR="005517E9" w:rsidRDefault="005517E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0F1B" w14:textId="06531D0E" w:rsidR="009251C3" w:rsidRDefault="009251C3">
    <w:pPr>
      <w:ind w:left="40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83BD" w14:textId="77777777" w:rsidR="005517E9" w:rsidRDefault="005517E9">
      <w:pPr>
        <w:spacing w:before="0" w:after="0" w:line="240" w:lineRule="auto"/>
      </w:pPr>
      <w:r>
        <w:separator/>
      </w:r>
    </w:p>
  </w:footnote>
  <w:footnote w:type="continuationSeparator" w:id="0">
    <w:p w14:paraId="033CB11A" w14:textId="77777777" w:rsidR="005517E9" w:rsidRDefault="005517E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B55"/>
    <w:multiLevelType w:val="multilevel"/>
    <w:tmpl w:val="D640035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08681A"/>
    <w:multiLevelType w:val="multilevel"/>
    <w:tmpl w:val="05E6A680"/>
    <w:lvl w:ilvl="0">
      <w:start w:val="1"/>
      <w:numFmt w:val="bullet"/>
      <w:lvlText w:val=""/>
      <w:lvlJc w:val="left"/>
      <w:pPr>
        <w:ind w:left="0"/>
      </w:pPr>
    </w:lvl>
    <w:lvl w:ilvl="1">
      <w:start w:val="1"/>
      <w:numFmt w:val="bullet"/>
      <w:lvlText w:val=""/>
      <w:lvlJc w:val="left"/>
      <w:pPr>
        <w:ind w:left="360"/>
      </w:pPr>
    </w:lvl>
    <w:lvl w:ilvl="2">
      <w:start w:val="1"/>
      <w:numFmt w:val="bullet"/>
      <w:lvlText w:val=""/>
      <w:lvlJc w:val="left"/>
      <w:pPr>
        <w:ind w:left="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53870AB"/>
    <w:multiLevelType w:val="multilevel"/>
    <w:tmpl w:val="7C3C898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51C3"/>
    <w:rsid w:val="004A29A8"/>
    <w:rsid w:val="005517E9"/>
    <w:rsid w:val="009251C3"/>
    <w:rsid w:val="00FA6D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40500"/>
  <w15:docId w15:val="{EA934AF6-37B9-459B-92B3-751685B21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GB" w:eastAsia="en-GB" w:bidi="ar-SA"/>
      </w:rPr>
    </w:rPrDefault>
    <w:pPrDefault>
      <w:pPr>
        <w:spacing w:before="60" w:after="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60"/>
      <w:outlineLvl w:val="0"/>
    </w:pPr>
    <w:rPr>
      <w:b/>
      <w:sz w:val="28"/>
    </w:rPr>
  </w:style>
  <w:style w:type="paragraph" w:styleId="Heading2">
    <w:name w:val="heading 2"/>
    <w:basedOn w:val="Normal"/>
    <w:uiPriority w:val="9"/>
    <w:unhideWhenUsed/>
    <w:qFormat/>
    <w:pPr>
      <w:spacing w:before="360"/>
      <w:outlineLvl w:val="1"/>
    </w:pPr>
    <w:rPr>
      <w:b/>
    </w:rPr>
  </w:style>
  <w:style w:type="paragraph" w:styleId="Heading3">
    <w:name w:val="heading 3"/>
    <w:basedOn w:val="Normal"/>
    <w:uiPriority w:val="9"/>
    <w:unhideWhenUsed/>
    <w:qFormat/>
    <w:pPr>
      <w:spacing w:before="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360"/>
      <w:contextualSpacing/>
    </w:pPr>
  </w:style>
  <w:style w:type="character" w:customStyle="1" w:styleId="Code">
    <w:name w:val="Code"/>
    <w:qFormat/>
    <w:rPr>
      <w:rFonts w:ascii="Consolas"/>
      <w:shd w:val="clear" w:color="auto" w:fill="E1E2E4"/>
    </w:rPr>
  </w:style>
  <w:style w:type="table" w:customStyle="1" w:styleId="CodeBlock">
    <w:name w:val="Code Block"/>
    <w:qFormat/>
    <w:pPr>
      <w:spacing w:line="240" w:lineRule="auto"/>
    </w:pPr>
    <w:rPr>
      <w:rFonts w:ascii="Consolas"/>
      <w:sz w:val="20"/>
    </w:rPr>
    <w:tblPr>
      <w:tblCellMar>
        <w:top w:w="0" w:type="dxa"/>
        <w:left w:w="0" w:type="dxa"/>
        <w:bottom w:w="0" w:type="dxa"/>
        <w:right w:w="0" w:type="dxa"/>
      </w:tblCellMar>
    </w:tblPr>
    <w:tcPr>
      <w:shd w:val="clear" w:color="auto" w:fill="E1E2E4"/>
      <w:tcMar>
        <w:top w:w="60" w:type="dxa"/>
        <w:left w:w="150" w:type="dxa"/>
        <w:bottom w:w="60" w:type="dxa"/>
        <w:right w:w="150" w:type="dxa"/>
      </w:tcMar>
    </w:tcPr>
  </w:style>
  <w:style w:type="table" w:styleId="TableGrid">
    <w:name w:val="Table Grid"/>
    <w:qFormat/>
    <w:rPr>
      <w:sz w:val="20"/>
    </w:rPr>
    <w:tblPr>
      <w:tblBorders>
        <w:top w:val="single" w:sz="4" w:space="0" w:color="E8E0DC"/>
        <w:left w:val="single" w:sz="4" w:space="0" w:color="E8E0DC"/>
        <w:bottom w:val="single" w:sz="4" w:space="0" w:color="E8E0DC"/>
        <w:right w:val="single" w:sz="4" w:space="0" w:color="E8E0DC"/>
        <w:insideH w:val="single" w:sz="4" w:space="0" w:color="E8E0DC"/>
        <w:insideV w:val="single" w:sz="4" w:space="0" w:color="E8E0DC"/>
      </w:tblBorders>
      <w:tblCellMar>
        <w:top w:w="0" w:type="dxa"/>
        <w:left w:w="0" w:type="dxa"/>
        <w:bottom w:w="0" w:type="dxa"/>
        <w:right w:w="0" w:type="dxa"/>
      </w:tblCellMar>
    </w:tblPr>
    <w:tcPr>
      <w:tcMar>
        <w:top w:w="90" w:type="dxa"/>
        <w:left w:w="120" w:type="dxa"/>
        <w:bottom w:w="0" w:type="dxa"/>
        <w:right w:w="120" w:type="dxa"/>
      </w:tcMar>
      <w:vAlign w:val="center"/>
    </w:tcPr>
    <w:tblStylePr w:type="firstRow">
      <w:tblPr/>
      <w:tcPr>
        <w:shd w:val="clear" w:color="auto" w:fill="F4EFED"/>
      </w:tcPr>
    </w:tblStylePr>
  </w:style>
  <w:style w:type="paragraph" w:styleId="Title">
    <w:name w:val="Title"/>
    <w:basedOn w:val="Normal"/>
    <w:uiPriority w:val="10"/>
    <w:qFormat/>
    <w:pPr>
      <w:spacing w:before="240" w:after="240"/>
      <w:jc w:val="center"/>
    </w:pPr>
    <w:rPr>
      <w:b/>
      <w:sz w:val="32"/>
    </w:rPr>
  </w:style>
  <w:style w:type="character" w:styleId="Hyperlink">
    <w:name w:val="Hyperlink"/>
    <w:rPr>
      <w:color w:val="0563C1"/>
      <w:u w:val="single"/>
    </w:rPr>
  </w:style>
  <w:style w:type="paragraph" w:styleId="Header">
    <w:name w:val="header"/>
    <w:basedOn w:val="Normal"/>
    <w:link w:val="HeaderChar"/>
    <w:uiPriority w:val="99"/>
    <w:unhideWhenUsed/>
    <w:rsid w:val="004A29A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A29A8"/>
  </w:style>
  <w:style w:type="paragraph" w:styleId="Footer">
    <w:name w:val="footer"/>
    <w:basedOn w:val="Normal"/>
    <w:link w:val="FooterChar"/>
    <w:uiPriority w:val="99"/>
    <w:unhideWhenUsed/>
    <w:rsid w:val="004A29A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A2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4848</Characters>
  <Application>Microsoft Office Word</Application>
  <DocSecurity>0</DocSecurity>
  <Lines>110</Lines>
  <Paragraphs>45</Paragraphs>
  <ScaleCrop>false</ScaleCrop>
  <Company>NHS</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 End Cymru Position Statement</dc:title>
  <dc:creator>Microsoft Copilot</dc:creator>
  <cp:lastModifiedBy>DUDLEY, Declan (NHS ENGLAND)</cp:lastModifiedBy>
  <cp:revision>2</cp:revision>
  <dcterms:created xsi:type="dcterms:W3CDTF">2026-09-17T20:57:00Z</dcterms:created>
  <dcterms:modified xsi:type="dcterms:W3CDTF">2026-09-17T20:57:00Z</dcterms:modified>
</cp:coreProperties>
</file>